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25"/>
        <w:gridCol w:w="1514"/>
        <w:gridCol w:w="1843"/>
        <w:gridCol w:w="142"/>
        <w:gridCol w:w="1644"/>
        <w:gridCol w:w="57"/>
        <w:gridCol w:w="1587"/>
        <w:gridCol w:w="114"/>
        <w:gridCol w:w="1530"/>
      </w:tblGrid>
      <w:tr w:rsidR="00350E57" w:rsidRPr="006A4046" w:rsidTr="009B7FC0">
        <w:trPr>
          <w:trHeight w:val="877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7" w:rsidRPr="006A4046" w:rsidRDefault="00350E57" w:rsidP="004E35B4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6A4046">
              <w:rPr>
                <w:rFonts w:ascii="Century Gothic" w:hAnsi="Century Gothic"/>
                <w:b/>
              </w:rPr>
              <w:t xml:space="preserve">English Hubs: facilitating excellent teaching of reading and early language in reception and Key Stage 1. </w:t>
            </w:r>
          </w:p>
          <w:p w:rsidR="00350E57" w:rsidRPr="006A4046" w:rsidRDefault="00350E57" w:rsidP="004E35B4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We are delighted that you are interested in the support in early language and reading teaching that we are offering as an English Hub school. Our aim in 20</w:t>
            </w:r>
            <w:r w:rsidR="009B7FC0">
              <w:rPr>
                <w:rFonts w:ascii="Century Gothic" w:hAnsi="Century Gothic"/>
              </w:rPr>
              <w:t>22/23</w:t>
            </w:r>
            <w:r>
              <w:rPr>
                <w:rFonts w:ascii="Century Gothic" w:hAnsi="Century Gothic"/>
              </w:rPr>
              <w:t xml:space="preserve"> </w:t>
            </w:r>
            <w:r w:rsidRPr="006A4046">
              <w:rPr>
                <w:rFonts w:ascii="Century Gothic" w:hAnsi="Century Gothic"/>
              </w:rPr>
              <w:t xml:space="preserve">is to provide high quality insight and advice to enable you to develop your own excellent practice in teaching reading through systematic synthetic phonics and early language and encouraging a love of reading among your pupils. </w:t>
            </w:r>
            <w:r>
              <w:rPr>
                <w:rFonts w:ascii="Century Gothic" w:hAnsi="Century Gothic"/>
              </w:rPr>
              <w:t>It is also to provide support through events, audits and financial support for schools that have struggled to maintain their provision during the ongoing pandemic.</w:t>
            </w:r>
          </w:p>
          <w:p w:rsidR="00350E57" w:rsidRPr="006A4046" w:rsidRDefault="00350E57" w:rsidP="004E35B4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The support that we can offer includes:</w:t>
            </w:r>
          </w:p>
          <w:p w:rsidR="00350E57" w:rsidRPr="006A4046" w:rsidRDefault="00350E57" w:rsidP="004E35B4">
            <w:pPr>
              <w:pStyle w:val="DeptBullets"/>
              <w:numPr>
                <w:ilvl w:val="0"/>
                <w:numId w:val="2"/>
              </w:numPr>
              <w:tabs>
                <w:tab w:val="left" w:pos="720"/>
              </w:tabs>
              <w:spacing w:after="0" w:line="280" w:lineRule="exact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Attending a showcase of best practice in the teaching of early language and reading through systematic synthetic phonics.</w:t>
            </w:r>
          </w:p>
          <w:p w:rsidR="00350E57" w:rsidRPr="006A4046" w:rsidRDefault="00350E57" w:rsidP="004E35B4">
            <w:pPr>
              <w:pStyle w:val="DeptBullets"/>
              <w:numPr>
                <w:ilvl w:val="0"/>
                <w:numId w:val="2"/>
              </w:numPr>
              <w:tabs>
                <w:tab w:val="left" w:pos="720"/>
              </w:tabs>
              <w:spacing w:after="0" w:line="280" w:lineRule="exact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help developing your own action plan for improving teaching of early language and reading.</w:t>
            </w:r>
          </w:p>
          <w:p w:rsidR="00350E57" w:rsidRPr="006A4046" w:rsidRDefault="00350E57" w:rsidP="004E35B4">
            <w:pPr>
              <w:pStyle w:val="DeptBullets"/>
              <w:numPr>
                <w:ilvl w:val="0"/>
                <w:numId w:val="2"/>
              </w:numPr>
              <w:tabs>
                <w:tab w:val="left" w:pos="720"/>
              </w:tabs>
              <w:spacing w:after="0" w:line="280" w:lineRule="exact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financial support to buy resources that you have identified in your action plan.</w:t>
            </w:r>
          </w:p>
          <w:p w:rsidR="00350E57" w:rsidRPr="006A4046" w:rsidRDefault="00350E57" w:rsidP="004E35B4">
            <w:pPr>
              <w:pStyle w:val="DeptBullets"/>
              <w:numPr>
                <w:ilvl w:val="0"/>
                <w:numId w:val="2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 xml:space="preserve">A detailed in-school audit of your teaching provision, for those schools that would most benefit. </w:t>
            </w:r>
          </w:p>
          <w:p w:rsidR="00350E57" w:rsidRDefault="00350E57" w:rsidP="004E35B4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 xml:space="preserve">Please provide as much information below as possible. We will use this to prioritise among schools where there are more applications than we can accommodate. </w:t>
            </w:r>
          </w:p>
          <w:p w:rsidR="00AF1901" w:rsidRPr="006A4046" w:rsidRDefault="00AF1901" w:rsidP="004E35B4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</w:p>
        </w:tc>
      </w:tr>
      <w:tr w:rsidR="00350E57" w:rsidRPr="006A4046" w:rsidTr="009B7FC0">
        <w:trPr>
          <w:trHeight w:val="659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0E57" w:rsidRPr="006A4046" w:rsidRDefault="00350E57" w:rsidP="004E35B4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School name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7" w:rsidRPr="006A4046" w:rsidRDefault="00350E57" w:rsidP="004E35B4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350E57" w:rsidRPr="006A4046" w:rsidTr="009B7FC0">
        <w:trPr>
          <w:trHeight w:val="506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0E57" w:rsidRPr="006A4046" w:rsidRDefault="00350E57" w:rsidP="004E35B4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URN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7" w:rsidRPr="006A4046" w:rsidRDefault="00350E57" w:rsidP="004E35B4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AF1901" w:rsidRPr="006A4046" w:rsidTr="009B7FC0">
        <w:trPr>
          <w:trHeight w:val="506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901" w:rsidRPr="006A4046" w:rsidRDefault="003F3605" w:rsidP="004E35B4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 of PP (Pupil Premiu</w:t>
            </w:r>
            <w:r w:rsidR="00AF1901">
              <w:rPr>
                <w:rFonts w:ascii="Century Gothic" w:hAnsi="Century Gothic"/>
              </w:rPr>
              <w:t>m)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01" w:rsidRPr="006A4046" w:rsidRDefault="00AF1901" w:rsidP="004E35B4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9B7FC0" w:rsidRPr="006A4046" w:rsidTr="009B7FC0">
        <w:trPr>
          <w:trHeight w:val="506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 of EAL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9B7FC0" w:rsidRPr="006A4046" w:rsidTr="009B7FC0">
        <w:trPr>
          <w:trHeight w:val="506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 of SEN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9B7FC0" w:rsidRPr="006A4046" w:rsidTr="009B7FC0">
        <w:trPr>
          <w:trHeight w:val="506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FC0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you in an ‘Opportunity Area? If so, which one?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9B7FC0" w:rsidRPr="006A4046" w:rsidTr="009B7FC0">
        <w:trPr>
          <w:trHeight w:val="506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FC0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Most recent Ofsted inspection grade and any additional points of relevance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9B7FC0" w:rsidRPr="006A4046" w:rsidTr="009B7FC0">
        <w:trPr>
          <w:trHeight w:val="506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Head Teacher contact name and email </w:t>
            </w:r>
            <w:r>
              <w:rPr>
                <w:rFonts w:ascii="Century Gothic" w:hAnsi="Century Gothic"/>
              </w:rPr>
              <w:lastRenderedPageBreak/>
              <w:t>address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9B7FC0" w:rsidRPr="006A4046" w:rsidTr="009B7FC0">
        <w:trPr>
          <w:trHeight w:val="506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English Lead contact name and email address 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9B7FC0" w:rsidRPr="006A4046" w:rsidTr="009B7FC0">
        <w:trPr>
          <w:trHeight w:val="200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Phonics Screening Check scores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2021 (Autumn – if complete)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2020 (Autumn)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</w:tr>
      <w:tr w:rsidR="009B7FC0" w:rsidRPr="006A4046" w:rsidTr="009B7FC0">
        <w:trPr>
          <w:trHeight w:val="659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FC0" w:rsidRPr="006A4046" w:rsidRDefault="009B7FC0" w:rsidP="009B7FC0">
            <w:pPr>
              <w:spacing w:before="0" w:after="0"/>
              <w:rPr>
                <w:rFonts w:ascii="Century Gothic" w:hAnsi="Century Gothic" w:cs="Times New Roman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9B7FC0" w:rsidRPr="006A4046" w:rsidTr="009B7FC0">
        <w:trPr>
          <w:trHeight w:val="1043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Any relevant contextual in</w:t>
            </w:r>
            <w:r>
              <w:rPr>
                <w:rFonts w:ascii="Century Gothic" w:hAnsi="Century Gothic"/>
              </w:rPr>
              <w:t>formation about your PSC scores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  <w:p w:rsidR="009B7FC0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  <w:p w:rsidR="009B7FC0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9B7FC0" w:rsidRPr="006A4046" w:rsidTr="00DE0D13">
        <w:trPr>
          <w:trHeight w:val="683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FC0" w:rsidRPr="00182C1D" w:rsidRDefault="009B7FC0" w:rsidP="009B7FC0">
            <w:pPr>
              <w:pStyle w:val="DeptBullets"/>
              <w:tabs>
                <w:tab w:val="left" w:pos="720"/>
              </w:tabs>
              <w:spacing w:line="280" w:lineRule="exact"/>
              <w:ind w:left="0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 xml:space="preserve">Key Stage 1 </w:t>
            </w:r>
            <w:r>
              <w:rPr>
                <w:rFonts w:ascii="Century Gothic" w:hAnsi="Century Gothic"/>
              </w:rPr>
              <w:t>Reading assessment scores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2021 (Autumn – if complete)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2020 (Autumn)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</w:tr>
      <w:tr w:rsidR="009B7FC0" w:rsidRPr="006A4046" w:rsidTr="000507D3">
        <w:trPr>
          <w:trHeight w:val="682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FC0" w:rsidRPr="006A4046" w:rsidRDefault="009B7FC0" w:rsidP="009B7FC0">
            <w:pPr>
              <w:pStyle w:val="DeptBullets"/>
              <w:tabs>
                <w:tab w:val="left" w:pos="720"/>
              </w:tabs>
              <w:spacing w:line="280" w:lineRule="exact"/>
              <w:ind w:left="0"/>
              <w:rPr>
                <w:rFonts w:ascii="Century Gothic" w:hAnsi="Century Gothic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9B7FC0" w:rsidRPr="006A4046" w:rsidTr="009B7FC0">
        <w:trPr>
          <w:trHeight w:val="117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FC0" w:rsidRDefault="009B7FC0" w:rsidP="009B7FC0">
            <w:pPr>
              <w:pStyle w:val="DeptBullets"/>
              <w:ind w:left="0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Any relevant contextual information about your PSC scores.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9B7FC0" w:rsidRPr="006A4046" w:rsidTr="009B7FC0">
        <w:trPr>
          <w:trHeight w:val="117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FC0" w:rsidRDefault="009B7FC0" w:rsidP="009B7FC0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you predicting for your bottom 20% in the PSC?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9B7FC0" w:rsidRPr="006A4046" w:rsidTr="009B7FC0">
        <w:trPr>
          <w:trHeight w:val="117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FC0" w:rsidRPr="003F3605" w:rsidRDefault="009B7FC0" w:rsidP="009B7FC0">
            <w:pPr>
              <w:rPr>
                <w:sz w:val="22"/>
                <w:szCs w:val="22"/>
              </w:rPr>
            </w:pPr>
            <w:r w:rsidRPr="003F3605">
              <w:rPr>
                <w:rFonts w:ascii="Century Gothic" w:hAnsi="Century Gothic"/>
                <w:sz w:val="22"/>
                <w:szCs w:val="22"/>
              </w:rPr>
              <w:t>Current Phonics Programme(s) and desired programme if changing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Default="009B7FC0" w:rsidP="009B7FC0"/>
        </w:tc>
      </w:tr>
      <w:tr w:rsidR="009B7FC0" w:rsidRPr="006A4046" w:rsidTr="009B7FC0">
        <w:trPr>
          <w:trHeight w:val="117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FC0" w:rsidRDefault="009B7FC0" w:rsidP="009B7FC0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outline any other support that you are currently receiving in early language or literacy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9B7FC0" w:rsidRPr="006A4046" w:rsidTr="009B7FC0">
        <w:trPr>
          <w:trHeight w:val="117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FC0" w:rsidRDefault="009B7FC0" w:rsidP="009B7FC0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did you find out about us?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9B7FC0" w:rsidRPr="006A4046" w:rsidTr="009B7FC0">
        <w:trPr>
          <w:trHeight w:val="117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FC0" w:rsidRDefault="009B7FC0" w:rsidP="009B7FC0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Have you been referred?  If so, by who?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9B7FC0" w:rsidRPr="006A4046" w:rsidTr="009B7FC0">
        <w:trPr>
          <w:trHeight w:val="1042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FC0" w:rsidRPr="006A4046" w:rsidRDefault="009B7FC0" w:rsidP="009B7FC0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Headteacher’s signature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A4046" w:rsidRDefault="009B7FC0" w:rsidP="009B7FC0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</w:p>
        </w:tc>
      </w:tr>
    </w:tbl>
    <w:p w:rsidR="00350E57" w:rsidRPr="006A4046" w:rsidRDefault="00350E57" w:rsidP="00350E57">
      <w:pPr>
        <w:rPr>
          <w:rFonts w:ascii="Century Gothic" w:hAnsi="Century Gothic"/>
        </w:rPr>
      </w:pPr>
    </w:p>
    <w:p w:rsidR="00350E57" w:rsidRPr="00600AF0" w:rsidRDefault="00350E57" w:rsidP="00350E57">
      <w:pPr>
        <w:pStyle w:val="NoSpacing"/>
        <w:jc w:val="center"/>
        <w:rPr>
          <w:sz w:val="24"/>
        </w:rPr>
      </w:pPr>
      <w:r w:rsidRPr="00600AF0">
        <w:rPr>
          <w:sz w:val="24"/>
        </w:rPr>
        <w:t>PLEASE RETURN YOUR COMPLETED FORM TO</w:t>
      </w:r>
      <w:r>
        <w:rPr>
          <w:sz w:val="24"/>
        </w:rPr>
        <w:t>:</w:t>
      </w:r>
    </w:p>
    <w:p w:rsidR="00350E57" w:rsidRPr="00600AF0" w:rsidRDefault="0060076E" w:rsidP="00350E57">
      <w:pPr>
        <w:pStyle w:val="NoSpacing"/>
        <w:jc w:val="center"/>
        <w:rPr>
          <w:sz w:val="24"/>
        </w:rPr>
      </w:pPr>
      <w:hyperlink r:id="rId7" w:history="1">
        <w:r w:rsidR="00350E57" w:rsidRPr="00271935">
          <w:rPr>
            <w:rStyle w:val="Hyperlink"/>
            <w:sz w:val="24"/>
          </w:rPr>
          <w:t>mailto:englishhubadmin@wensumtrust.org.uk</w:t>
        </w:r>
      </w:hyperlink>
    </w:p>
    <w:p w:rsidR="000604AE" w:rsidRDefault="000604AE" w:rsidP="00350E57"/>
    <w:sectPr w:rsidR="000604AE" w:rsidSect="00433763">
      <w:headerReference w:type="first" r:id="rId8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57" w:rsidRDefault="00350E57" w:rsidP="00350E57">
      <w:pPr>
        <w:spacing w:before="0" w:after="0"/>
      </w:pPr>
      <w:r>
        <w:separator/>
      </w:r>
    </w:p>
  </w:endnote>
  <w:endnote w:type="continuationSeparator" w:id="0">
    <w:p w:rsidR="00350E57" w:rsidRDefault="00350E57" w:rsidP="00350E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57" w:rsidRDefault="00350E57" w:rsidP="00350E57">
      <w:pPr>
        <w:spacing w:before="0" w:after="0"/>
      </w:pPr>
      <w:r>
        <w:separator/>
      </w:r>
    </w:p>
  </w:footnote>
  <w:footnote w:type="continuationSeparator" w:id="0">
    <w:p w:rsidR="00350E57" w:rsidRDefault="00350E57" w:rsidP="00350E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E57" w:rsidRPr="00350E57" w:rsidRDefault="00350E57" w:rsidP="00350E57">
    <w:pPr>
      <w:pStyle w:val="Header"/>
      <w:jc w:val="both"/>
    </w:pPr>
    <w:r>
      <w:rPr>
        <w:noProof/>
        <w:bdr w:val="none" w:sz="0" w:space="0" w:color="auto" w:frame="1"/>
      </w:rPr>
      <w:drawing>
        <wp:inline distT="0" distB="0" distL="0" distR="0" wp14:anchorId="7BB575C9" wp14:editId="68347FF8">
          <wp:extent cx="1514475" cy="952500"/>
          <wp:effectExtent l="0" t="0" r="9525" b="0"/>
          <wp:docPr id="2" name="Picture 2" descr="C:\Users\abibi\OneDrive - Department for Education\Desktop\EH branding\d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ibi\OneDrive - Department for Education\Desktop\EH branding\df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0E57">
      <w:rPr>
        <w:noProof/>
        <w:bdr w:val="none" w:sz="0" w:space="0" w:color="auto" w:frame="1"/>
      </w:rPr>
      <w:t xml:space="preserve"> </w:t>
    </w:r>
    <w:r>
      <w:rPr>
        <w:noProof/>
        <w:bdr w:val="none" w:sz="0" w:space="0" w:color="auto" w:frame="1"/>
      </w:rPr>
      <w:tab/>
    </w:r>
    <w:r>
      <w:rPr>
        <w:noProof/>
        <w:bdr w:val="none" w:sz="0" w:space="0" w:color="auto" w:frame="1"/>
      </w:rPr>
      <w:tab/>
    </w:r>
    <w:r>
      <w:rPr>
        <w:noProof/>
        <w:bdr w:val="none" w:sz="0" w:space="0" w:color="auto" w:frame="1"/>
      </w:rPr>
      <w:drawing>
        <wp:inline distT="0" distB="0" distL="0" distR="0" wp14:anchorId="0B3C0F44" wp14:editId="0B334B84">
          <wp:extent cx="2971800" cy="581025"/>
          <wp:effectExtent l="0" t="0" r="0" b="9525"/>
          <wp:docPr id="3" name="Picture 3" descr="https://lh5.googleusercontent.com/YnkG8S7skC7MbJrkFSR-jFI7KITAaogFaoVHPvRZibEtbf4eYSSbydb1tjlldVFiOPaJWc1TAzYro2jxnF5QCT_w6MhpJjKyNd_5B8GodEf1PFkgH8sVhU_EhadVCgNByoffSg7H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YnkG8S7skC7MbJrkFSR-jFI7KITAaogFaoVHPvRZibEtbf4eYSSbydb1tjlldVFiOPaJWc1TAzYro2jxnF5QCT_w6MhpJjKyNd_5B8GodEf1PFkgH8sVhU_EhadVCgNByoffSg7H=s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70263B73"/>
    <w:multiLevelType w:val="hybridMultilevel"/>
    <w:tmpl w:val="C2F48F0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57"/>
    <w:rsid w:val="000604AE"/>
    <w:rsid w:val="00207433"/>
    <w:rsid w:val="00350E57"/>
    <w:rsid w:val="003F3605"/>
    <w:rsid w:val="0060076E"/>
    <w:rsid w:val="009B7FC0"/>
    <w:rsid w:val="00AF1901"/>
    <w:rsid w:val="00C2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106173B-E112-4286-9297-82F564FE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0E57"/>
    <w:pPr>
      <w:spacing w:before="180" w:after="120" w:line="240" w:lineRule="auto"/>
    </w:pPr>
    <w:rPr>
      <w:rFonts w:eastAsia="Times New Roman" w:cstheme="minorHAns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ptBulletsChar">
    <w:name w:val="DeptBullets Char"/>
    <w:basedOn w:val="DefaultParagraphFont"/>
    <w:link w:val="DeptBullets"/>
    <w:locked/>
    <w:rsid w:val="00350E57"/>
    <w:rPr>
      <w:rFonts w:ascii="Arial" w:hAnsi="Arial" w:cs="Times New Roman"/>
      <w:szCs w:val="20"/>
    </w:rPr>
  </w:style>
  <w:style w:type="paragraph" w:customStyle="1" w:styleId="DeptBullets">
    <w:name w:val="DeptBullets"/>
    <w:basedOn w:val="Normal"/>
    <w:link w:val="DeptBulletsChar"/>
    <w:rsid w:val="00350E57"/>
    <w:pPr>
      <w:widowControl w:val="0"/>
      <w:numPr>
        <w:numId w:val="1"/>
      </w:numPr>
      <w:overflowPunct w:val="0"/>
      <w:autoSpaceDE w:val="0"/>
      <w:autoSpaceDN w:val="0"/>
      <w:adjustRightInd w:val="0"/>
      <w:spacing w:before="0" w:after="240"/>
    </w:pPr>
    <w:rPr>
      <w:rFonts w:ascii="Arial" w:eastAsiaTheme="minorHAnsi" w:hAnsi="Arial" w:cs="Times New Roman"/>
      <w:sz w:val="22"/>
      <w:szCs w:val="20"/>
      <w:lang w:eastAsia="en-US"/>
    </w:rPr>
  </w:style>
  <w:style w:type="table" w:styleId="TableGrid">
    <w:name w:val="Table Grid"/>
    <w:basedOn w:val="TableNormal"/>
    <w:rsid w:val="00350E57"/>
    <w:pPr>
      <w:spacing w:after="0" w:line="280" w:lineRule="exact"/>
    </w:pPr>
    <w:rPr>
      <w:rFonts w:eastAsia="Times New Roman" w:cstheme="minorHAnsi"/>
      <w:sz w:val="24"/>
      <w:szCs w:val="24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E5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50E57"/>
    <w:rPr>
      <w:rFonts w:eastAsia="Times New Roman" w:cstheme="minorHAns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0E5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50E57"/>
    <w:rPr>
      <w:rFonts w:eastAsia="Times New Roman" w:cstheme="minorHAnsi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50E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50E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90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0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lishhubadmin@wensum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Avenue Infant School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Cooke</dc:creator>
  <cp:keywords/>
  <dc:description/>
  <cp:lastModifiedBy>Mrs Cooke</cp:lastModifiedBy>
  <cp:revision>2</cp:revision>
  <cp:lastPrinted>2022-06-23T11:56:00Z</cp:lastPrinted>
  <dcterms:created xsi:type="dcterms:W3CDTF">2022-06-23T12:37:00Z</dcterms:created>
  <dcterms:modified xsi:type="dcterms:W3CDTF">2022-06-23T12:37:00Z</dcterms:modified>
</cp:coreProperties>
</file>